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519"/>
        <w:gridCol w:w="822"/>
        <w:gridCol w:w="1192"/>
        <w:gridCol w:w="1192"/>
        <w:gridCol w:w="1050"/>
        <w:gridCol w:w="4706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tblHeader/>
          <w:jc w:val="center"/>
        </w:trPr>
        <w:tc>
          <w:tcPr>
            <w:tcW w:w="1345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bookmarkStart w:id="0" w:name="_GoBack"/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合肥新鑫幼儿教育有限公司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  <w:lang w:val="en-US" w:eastAsia="zh-CN"/>
              </w:rPr>
              <w:t>公办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  <w:lang w:val="en-US" w:eastAsia="zh-CN"/>
              </w:rPr>
              <w:t>幼儿园教师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招聘岗位表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tblHeader/>
          <w:jc w:val="center"/>
        </w:trPr>
        <w:tc>
          <w:tcPr>
            <w:tcW w:w="88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岗位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151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822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81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岗位资格条件和要求</w:t>
            </w:r>
          </w:p>
        </w:tc>
        <w:tc>
          <w:tcPr>
            <w:tcW w:w="2088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tblHeader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1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47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20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889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01</w:t>
            </w:r>
          </w:p>
        </w:tc>
        <w:tc>
          <w:tcPr>
            <w:tcW w:w="151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幼儿教师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（岗位101、102无差异）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19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学前教育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早期教育等教育类相关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9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0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35周岁及以下</w:t>
            </w:r>
          </w:p>
        </w:tc>
        <w:tc>
          <w:tcPr>
            <w:tcW w:w="470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1.持有幼儿教师资格证；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2.普通话证书须达到二级甲等及以上水平；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3.需服从岗位调剂。</w:t>
            </w:r>
          </w:p>
        </w:tc>
        <w:tc>
          <w:tcPr>
            <w:tcW w:w="208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10万/年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（含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五险一金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试用期按公司试用期工资标准执行。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102</w:t>
            </w:r>
          </w:p>
        </w:tc>
        <w:tc>
          <w:tcPr>
            <w:tcW w:w="1519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2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学前教育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早期教育等教育类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35周岁及以下</w:t>
            </w:r>
          </w:p>
        </w:tc>
        <w:tc>
          <w:tcPr>
            <w:tcW w:w="470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1.持有幼儿教师资格证；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2.普通话证书须达到二级甲等及以上水平；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3.需服从岗位调剂。</w:t>
            </w:r>
          </w:p>
        </w:tc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0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2023-01-13T10:09:36Z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